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D6" w:rsidRPr="007515D6" w:rsidRDefault="00002F2C" w:rsidP="0075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noProof/>
          <w:color w:val="6F86B0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4323600" cy="3078000"/>
            <wp:effectExtent l="0" t="0" r="127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URSAULT LIMOZ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600" cy="30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5D6" w:rsidRPr="007515D6">
        <w:rPr>
          <w:rFonts w:ascii="Calibri" w:eastAsia="Times New Roman" w:hAnsi="Calibri" w:cs="Calibri"/>
          <w:b/>
          <w:bCs/>
          <w:color w:val="008080"/>
          <w:sz w:val="36"/>
          <w:szCs w:val="36"/>
          <w:u w:val="single"/>
          <w:shd w:val="clear" w:color="auto" w:fill="F4F5F9"/>
          <w:lang w:eastAsia="fr-FR"/>
        </w:rPr>
        <w:t>MEURSAULT "</w:t>
      </w:r>
      <w:proofErr w:type="spellStart"/>
      <w:r w:rsidR="007515D6" w:rsidRPr="007515D6">
        <w:rPr>
          <w:rFonts w:ascii="Calibri" w:eastAsia="Times New Roman" w:hAnsi="Calibri" w:cs="Calibri"/>
          <w:b/>
          <w:bCs/>
          <w:color w:val="008080"/>
          <w:sz w:val="36"/>
          <w:szCs w:val="36"/>
          <w:u w:val="single"/>
          <w:shd w:val="clear" w:color="auto" w:fill="F4F5F9"/>
          <w:lang w:eastAsia="fr-FR"/>
        </w:rPr>
        <w:t>Limozin</w:t>
      </w:r>
      <w:proofErr w:type="spellEnd"/>
      <w:r w:rsidR="007515D6" w:rsidRPr="007515D6">
        <w:rPr>
          <w:rFonts w:ascii="Calibri" w:eastAsia="Times New Roman" w:hAnsi="Calibri" w:cs="Calibri"/>
          <w:b/>
          <w:bCs/>
          <w:color w:val="008080"/>
          <w:sz w:val="36"/>
          <w:szCs w:val="36"/>
          <w:u w:val="single"/>
          <w:shd w:val="clear" w:color="auto" w:fill="F4F5F9"/>
          <w:lang w:eastAsia="fr-FR"/>
        </w:rPr>
        <w:t>"</w:t>
      </w:r>
      <w:r w:rsidR="007515D6" w:rsidRPr="007515D6">
        <w:rPr>
          <w:rFonts w:ascii="Verdana" w:eastAsia="Times New Roman" w:hAnsi="Verdana" w:cs="Times New Roman"/>
          <w:color w:val="008080"/>
          <w:sz w:val="20"/>
          <w:szCs w:val="20"/>
          <w:shd w:val="clear" w:color="auto" w:fill="F4F5F9"/>
          <w:lang w:eastAsia="fr-FR"/>
        </w:rPr>
        <w:t> </w:t>
      </w:r>
      <w:r w:rsidR="007515D6" w:rsidRPr="007515D6">
        <w:rPr>
          <w:rFonts w:ascii="Verdana" w:eastAsia="Times New Roman" w:hAnsi="Verdana" w:cs="Times New Roman"/>
          <w:b/>
          <w:bCs/>
          <w:color w:val="008080"/>
          <w:sz w:val="20"/>
          <w:szCs w:val="20"/>
          <w:shd w:val="clear" w:color="auto" w:fill="F4F5F9"/>
          <w:lang w:eastAsia="fr-FR"/>
        </w:rPr>
        <w:t>:</w:t>
      </w:r>
      <w:r w:rsidR="007515D6"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</w:p>
    <w:p w:rsidR="007515D6" w:rsidRPr="007515D6" w:rsidRDefault="007515D6" w:rsidP="007515D6">
      <w:pPr>
        <w:rPr>
          <w:b/>
          <w:lang w:val="en-HK"/>
        </w:rPr>
      </w:pPr>
      <w:r w:rsidRPr="007515D6">
        <w:rPr>
          <w:b/>
          <w:lang w:val="en-HK"/>
        </w:rPr>
        <w:t>MEURSAULT "</w:t>
      </w:r>
      <w:proofErr w:type="spellStart"/>
      <w:r w:rsidRPr="007515D6">
        <w:rPr>
          <w:b/>
          <w:lang w:val="en-HK"/>
        </w:rPr>
        <w:t>Limozin</w:t>
      </w:r>
      <w:proofErr w:type="spellEnd"/>
      <w:r w:rsidRPr="007515D6">
        <w:rPr>
          <w:b/>
          <w:lang w:val="en-HK"/>
        </w:rPr>
        <w:t>":</w:t>
      </w:r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 xml:space="preserve">This parcel is located under the Meursault </w:t>
      </w:r>
      <w:proofErr w:type="spellStart"/>
      <w:r w:rsidRPr="007515D6">
        <w:rPr>
          <w:lang w:val="en-HK"/>
        </w:rPr>
        <w:t>Genevrières</w:t>
      </w:r>
      <w:proofErr w:type="spellEnd"/>
      <w:r w:rsidRPr="007515D6">
        <w:rPr>
          <w:lang w:val="en-HK"/>
        </w:rPr>
        <w:t>, this Meursault is one of the best terroirs of the appellation.</w:t>
      </w:r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>Grape variety: Chardonnay</w:t>
      </w:r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>White colour</w:t>
      </w:r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>Year of planting: 1969</w:t>
      </w:r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 xml:space="preserve">Surface: 73.03 </w:t>
      </w:r>
      <w:proofErr w:type="spellStart"/>
      <w:r w:rsidRPr="007515D6">
        <w:rPr>
          <w:lang w:val="en-HK"/>
        </w:rPr>
        <w:t>ares</w:t>
      </w:r>
      <w:proofErr w:type="spellEnd"/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>Harvest: manual</w:t>
      </w:r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>Terroir: limestone and clay soil</w:t>
      </w:r>
    </w:p>
    <w:p w:rsidR="007515D6" w:rsidRPr="007515D6" w:rsidRDefault="007515D6" w:rsidP="007515D6">
      <w:pPr>
        <w:spacing w:after="0"/>
        <w:rPr>
          <w:lang w:val="en-HK"/>
        </w:rPr>
      </w:pPr>
      <w:proofErr w:type="spellStart"/>
      <w:r w:rsidRPr="007515D6">
        <w:rPr>
          <w:lang w:val="en-HK"/>
        </w:rPr>
        <w:t>Vinification</w:t>
      </w:r>
      <w:proofErr w:type="spellEnd"/>
      <w:r w:rsidRPr="007515D6">
        <w:rPr>
          <w:lang w:val="en-HK"/>
        </w:rPr>
        <w:t>: pneumatic pressing, settling, alcoholic fermentation without yeasting, malolactic fermentation</w:t>
      </w:r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>Aging: In oak barrels with 25% new barrels. Aging on lees for one year with regular stirring</w:t>
      </w:r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>Bottling: at the estate</w:t>
      </w:r>
    </w:p>
    <w:p w:rsidR="007515D6" w:rsidRP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>Aging potential: 5 to 10 years</w:t>
      </w:r>
    </w:p>
    <w:p w:rsidR="007515D6" w:rsidRDefault="007515D6" w:rsidP="007515D6">
      <w:pPr>
        <w:spacing w:after="0"/>
        <w:rPr>
          <w:lang w:val="en-HK"/>
        </w:rPr>
      </w:pPr>
      <w:r w:rsidRPr="007515D6">
        <w:rPr>
          <w:lang w:val="en-HK"/>
        </w:rPr>
        <w:t>Description of the wine: Dress of a beautiful shine. Discreet nose of grapefruit and lime. The liveliness of citrus fruits is present on the palate and goes perfectly with the well-melted oak of the wine</w:t>
      </w:r>
    </w:p>
    <w:p w:rsidR="00002F2C" w:rsidRDefault="00002F2C" w:rsidP="007515D6">
      <w:pPr>
        <w:spacing w:after="0"/>
        <w:rPr>
          <w:lang w:val="en-HK"/>
        </w:rPr>
      </w:pPr>
    </w:p>
    <w:p w:rsidR="00002F2C" w:rsidRPr="007515D6" w:rsidRDefault="00002F2C" w:rsidP="00002F2C">
      <w:pPr>
        <w:shd w:val="clear" w:color="auto" w:fill="F4F5F9"/>
        <w:spacing w:after="0" w:line="240" w:lineRule="auto"/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</w:pPr>
      <w:r w:rsidRPr="007515D6">
        <w:rPr>
          <w:rFonts w:ascii="Calibri" w:eastAsia="Times New Roman" w:hAnsi="Calibri" w:cs="Calibri"/>
          <w:color w:val="6F86B0"/>
          <w:sz w:val="27"/>
          <w:szCs w:val="27"/>
          <w:lang w:eastAsia="fr-FR"/>
        </w:rPr>
        <w:t>Cette parcelle est située sous les Meursault Genevrières, ce Meursault fait partie des meilleurs terroirs de l'appellation.</w:t>
      </w:r>
    </w:p>
    <w:p w:rsidR="00002F2C" w:rsidRDefault="00002F2C" w:rsidP="00002F2C">
      <w:pPr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</w:pP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Cépage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Chardonnay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couleur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blanc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Année de plantation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1969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Surface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73,03 ares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Vendanges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manuelles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Terroir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sol calcaire et argileux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lastRenderedPageBreak/>
        <w:t>Vinification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 xml:space="preserve"> :  pressurage pneumatique, débourbage, fermentation alcoolique sans </w:t>
      </w:r>
      <w:proofErr w:type="spellStart"/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levurage</w:t>
      </w:r>
      <w:proofErr w:type="spellEnd"/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, fermentation malolactique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Elevage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En fûts de chêne avec 25% de fûts neufs. Elevage sur lies pendant un an avec bâtonnages réguliers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Mise en bouteilles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au domaine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Potentiel de garde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5 à 10 ans</w:t>
      </w:r>
      <w:r w:rsidRPr="007515D6">
        <w:rPr>
          <w:rFonts w:ascii="Verdana" w:eastAsia="Times New Roman" w:hAnsi="Verdana" w:cs="Times New Roman"/>
          <w:color w:val="6F86B0"/>
          <w:sz w:val="20"/>
          <w:szCs w:val="20"/>
          <w:lang w:eastAsia="fr-FR"/>
        </w:rPr>
        <w:br/>
      </w:r>
      <w:r w:rsidRPr="007515D6">
        <w:rPr>
          <w:rFonts w:ascii="Calibri" w:eastAsia="Times New Roman" w:hAnsi="Calibri" w:cs="Calibri"/>
          <w:color w:val="6F86B0"/>
          <w:sz w:val="27"/>
          <w:szCs w:val="27"/>
          <w:u w:val="single"/>
          <w:shd w:val="clear" w:color="auto" w:fill="F4F5F9"/>
          <w:lang w:eastAsia="fr-FR"/>
        </w:rPr>
        <w:t>Descriptif du vin</w:t>
      </w:r>
      <w:r w:rsidRPr="007515D6">
        <w:rPr>
          <w:rFonts w:ascii="Calibri" w:eastAsia="Times New Roman" w:hAnsi="Calibri" w:cs="Calibri"/>
          <w:color w:val="6F86B0"/>
          <w:sz w:val="27"/>
          <w:szCs w:val="27"/>
          <w:shd w:val="clear" w:color="auto" w:fill="F4F5F9"/>
          <w:lang w:eastAsia="fr-FR"/>
        </w:rPr>
        <w:t> : Robe d'une belle brillance. Discret nez de pamplemousse et de citron vert. La vivacité des agrumes est présente en bouche et s'associe parfaitement avec le boisé bien fondu du vin.</w:t>
      </w:r>
    </w:p>
    <w:p w:rsidR="00002F2C" w:rsidRPr="00002F2C" w:rsidRDefault="00002F2C" w:rsidP="007515D6">
      <w:pPr>
        <w:spacing w:after="0"/>
      </w:pPr>
      <w:bookmarkStart w:id="0" w:name="_GoBack"/>
      <w:bookmarkEnd w:id="0"/>
    </w:p>
    <w:sectPr w:rsidR="00002F2C" w:rsidRPr="0000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D6"/>
    <w:rsid w:val="00002F2C"/>
    <w:rsid w:val="00150968"/>
    <w:rsid w:val="005B732F"/>
    <w:rsid w:val="007515D6"/>
    <w:rsid w:val="009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4165"/>
  <w15:chartTrackingRefBased/>
  <w15:docId w15:val="{F32BDEEA-9266-44D6-BDBB-FBD131A1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HUI-BON-HOA</dc:creator>
  <cp:keywords/>
  <dc:description/>
  <cp:lastModifiedBy>Olivier HUI-BON-HOA</cp:lastModifiedBy>
  <cp:revision>2</cp:revision>
  <dcterms:created xsi:type="dcterms:W3CDTF">2021-10-08T11:15:00Z</dcterms:created>
  <dcterms:modified xsi:type="dcterms:W3CDTF">2021-10-08T11:32:00Z</dcterms:modified>
</cp:coreProperties>
</file>